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36C00" w:rsidTr="008D6AE7">
        <w:tblPrEx>
          <w:tblCellMar>
            <w:top w:w="0" w:type="dxa"/>
            <w:bottom w:w="0" w:type="dxa"/>
          </w:tblCellMar>
        </w:tblPrEx>
        <w:trPr>
          <w:trHeight w:val="1270"/>
        </w:trPr>
        <w:tc>
          <w:tcPr>
            <w:tcW w:w="9214" w:type="dxa"/>
          </w:tcPr>
          <w:p w:rsidR="00F36C00" w:rsidRPr="00506CE9" w:rsidRDefault="00F36C00" w:rsidP="00F36C00">
            <w:pPr>
              <w:shd w:val="clear" w:color="auto" w:fill="FFFFFF"/>
              <w:spacing w:before="225" w:after="0" w:line="240" w:lineRule="auto"/>
              <w:contextualSpacing/>
              <w:jc w:val="center"/>
              <w:outlineLvl w:val="1"/>
              <w:rPr>
                <w:rFonts w:ascii="Arial" w:eastAsia="Times New Roman" w:hAnsi="Arial" w:cs="Arial"/>
                <w:b/>
                <w:bCs/>
                <w:color w:val="3B3A3A"/>
                <w:sz w:val="34"/>
                <w:szCs w:val="34"/>
                <w:lang w:eastAsia="fr-FR"/>
              </w:rPr>
            </w:pPr>
            <w:r w:rsidRPr="00506CE9">
              <w:rPr>
                <w:rFonts w:ascii="Arial" w:eastAsia="Times New Roman" w:hAnsi="Arial" w:cs="Arial"/>
                <w:b/>
                <w:bCs/>
                <w:color w:val="3B3A3A"/>
                <w:sz w:val="34"/>
                <w:szCs w:val="34"/>
                <w:lang w:eastAsia="fr-FR"/>
              </w:rPr>
              <w:t>PREPARATION DE LA RETRAITE</w:t>
            </w:r>
          </w:p>
          <w:p w:rsidR="00F36C00" w:rsidRDefault="00F36C00" w:rsidP="00F36C00">
            <w:pPr>
              <w:shd w:val="clear" w:color="auto" w:fill="FFFFFF"/>
              <w:spacing w:before="225" w:after="0" w:line="240" w:lineRule="auto"/>
              <w:contextualSpacing/>
              <w:jc w:val="center"/>
              <w:outlineLvl w:val="1"/>
              <w:rPr>
                <w:rFonts w:ascii="Arial" w:eastAsia="Times New Roman" w:hAnsi="Arial" w:cs="Arial"/>
                <w:b/>
                <w:bCs/>
                <w:color w:val="3B3A3A"/>
                <w:sz w:val="34"/>
                <w:szCs w:val="34"/>
                <w:lang w:eastAsia="fr-FR"/>
              </w:rPr>
            </w:pPr>
            <w:r w:rsidRPr="00506CE9">
              <w:rPr>
                <w:rFonts w:ascii="Arial" w:eastAsia="Times New Roman" w:hAnsi="Arial" w:cs="Arial"/>
                <w:b/>
                <w:bCs/>
                <w:color w:val="3B3A3A"/>
                <w:sz w:val="34"/>
                <w:szCs w:val="34"/>
                <w:lang w:eastAsia="fr-FR"/>
              </w:rPr>
              <w:t>Effort d’Epargne de 1000,00 € par mois</w:t>
            </w:r>
          </w:p>
        </w:tc>
      </w:tr>
      <w:tr w:rsidR="00DB03A9" w:rsidTr="008D6AE7">
        <w:tblPrEx>
          <w:tblCellMar>
            <w:top w:w="0" w:type="dxa"/>
            <w:bottom w:w="0" w:type="dxa"/>
          </w:tblCellMar>
        </w:tblPrEx>
        <w:trPr>
          <w:trHeight w:val="1930"/>
        </w:trPr>
        <w:tc>
          <w:tcPr>
            <w:tcW w:w="9214" w:type="dxa"/>
          </w:tcPr>
          <w:p w:rsidR="00DB03A9" w:rsidRPr="00E57307" w:rsidRDefault="00DB03A9" w:rsidP="00DB03A9">
            <w:pPr>
              <w:shd w:val="clear" w:color="auto" w:fill="FFFFFF"/>
              <w:spacing w:before="225" w:after="0" w:line="240" w:lineRule="auto"/>
              <w:ind w:left="17"/>
              <w:outlineLvl w:val="1"/>
              <w:rPr>
                <w:rFonts w:ascii="Arial" w:eastAsia="Times New Roman" w:hAnsi="Arial" w:cs="Arial"/>
                <w:b/>
                <w:bCs/>
                <w:color w:val="3B3A3A"/>
                <w:sz w:val="24"/>
                <w:szCs w:val="24"/>
                <w:u w:val="single"/>
                <w:lang w:eastAsia="fr-FR"/>
              </w:rPr>
            </w:pPr>
            <w:r w:rsidRPr="00E57307">
              <w:rPr>
                <w:rFonts w:ascii="Arial" w:eastAsia="Times New Roman" w:hAnsi="Arial" w:cs="Arial"/>
                <w:b/>
                <w:bCs/>
                <w:color w:val="3B3A3A"/>
                <w:sz w:val="24"/>
                <w:szCs w:val="24"/>
                <w:u w:val="single"/>
                <w:lang w:eastAsia="fr-FR"/>
              </w:rPr>
              <w:t>Hypothèses</w:t>
            </w:r>
          </w:p>
          <w:p w:rsidR="00DB03A9" w:rsidRPr="00E87B6B" w:rsidRDefault="00DB03A9" w:rsidP="00DB03A9">
            <w:pPr>
              <w:shd w:val="clear" w:color="auto" w:fill="FFFFFF"/>
              <w:spacing w:after="75" w:line="312" w:lineRule="atLeast"/>
              <w:ind w:left="17"/>
              <w:jc w:val="both"/>
              <w:rPr>
                <w:rFonts w:ascii="Arial" w:eastAsia="Times New Roman" w:hAnsi="Arial" w:cs="Arial"/>
                <w:color w:val="3B3A3A"/>
                <w:sz w:val="20"/>
                <w:szCs w:val="20"/>
                <w:lang w:eastAsia="fr-FR"/>
              </w:rPr>
            </w:pPr>
            <w:r w:rsidRPr="00E87B6B">
              <w:rPr>
                <w:rFonts w:ascii="Arial" w:eastAsia="Times New Roman" w:hAnsi="Arial" w:cs="Arial"/>
                <w:b/>
                <w:bCs/>
                <w:color w:val="3B3A3A"/>
                <w:sz w:val="20"/>
                <w:szCs w:val="20"/>
                <w:lang w:eastAsia="fr-FR"/>
              </w:rPr>
              <w:t xml:space="preserve">Age du </w:t>
            </w:r>
            <w:r w:rsidR="00506CE9" w:rsidRPr="00E87B6B">
              <w:rPr>
                <w:rFonts w:ascii="Arial" w:eastAsia="Times New Roman" w:hAnsi="Arial" w:cs="Arial"/>
                <w:b/>
                <w:bCs/>
                <w:color w:val="3B3A3A"/>
                <w:sz w:val="20"/>
                <w:szCs w:val="20"/>
                <w:lang w:eastAsia="fr-FR"/>
              </w:rPr>
              <w:t>client</w:t>
            </w:r>
            <w:r w:rsidRPr="00E87B6B">
              <w:rPr>
                <w:rFonts w:ascii="Arial" w:eastAsia="Times New Roman" w:hAnsi="Arial" w:cs="Arial"/>
                <w:b/>
                <w:bCs/>
                <w:color w:val="3B3A3A"/>
                <w:sz w:val="20"/>
                <w:szCs w:val="20"/>
                <w:lang w:eastAsia="fr-FR"/>
              </w:rPr>
              <w:t> :</w:t>
            </w:r>
            <w:r w:rsidRPr="00E87B6B">
              <w:rPr>
                <w:rFonts w:ascii="Arial" w:eastAsia="Times New Roman" w:hAnsi="Arial" w:cs="Arial"/>
                <w:color w:val="3B3A3A"/>
                <w:sz w:val="20"/>
                <w:szCs w:val="20"/>
                <w:lang w:eastAsia="fr-FR"/>
              </w:rPr>
              <w:t> 40 ans</w:t>
            </w:r>
          </w:p>
          <w:p w:rsidR="00DB03A9" w:rsidRPr="00E87B6B" w:rsidRDefault="00DB03A9" w:rsidP="00DB03A9">
            <w:pPr>
              <w:shd w:val="clear" w:color="auto" w:fill="FFFFFF"/>
              <w:spacing w:after="75" w:line="312" w:lineRule="atLeast"/>
              <w:ind w:left="17"/>
              <w:jc w:val="both"/>
              <w:rPr>
                <w:rFonts w:ascii="Arial" w:eastAsia="Times New Roman" w:hAnsi="Arial" w:cs="Arial"/>
                <w:color w:val="3B3A3A"/>
                <w:sz w:val="20"/>
                <w:szCs w:val="20"/>
                <w:lang w:eastAsia="fr-FR"/>
              </w:rPr>
            </w:pPr>
            <w:r w:rsidRPr="00E87B6B">
              <w:rPr>
                <w:rFonts w:ascii="Arial" w:eastAsia="Times New Roman" w:hAnsi="Arial" w:cs="Arial"/>
                <w:b/>
                <w:bCs/>
                <w:color w:val="3B3A3A"/>
                <w:sz w:val="20"/>
                <w:szCs w:val="20"/>
                <w:lang w:eastAsia="fr-FR"/>
              </w:rPr>
              <w:t>Cadre fiscal : </w:t>
            </w:r>
            <w:r w:rsidRPr="00E87B6B">
              <w:rPr>
                <w:rFonts w:ascii="Arial" w:eastAsia="Times New Roman" w:hAnsi="Arial" w:cs="Arial"/>
                <w:color w:val="3B3A3A"/>
                <w:sz w:val="20"/>
                <w:szCs w:val="20"/>
                <w:lang w:eastAsia="fr-FR"/>
              </w:rPr>
              <w:t xml:space="preserve">assurance-vie </w:t>
            </w:r>
            <w:bookmarkStart w:id="0" w:name="_GoBack"/>
            <w:bookmarkEnd w:id="0"/>
          </w:p>
          <w:p w:rsidR="00DB03A9" w:rsidRPr="00E87B6B" w:rsidRDefault="00DB03A9" w:rsidP="00DB03A9">
            <w:pPr>
              <w:shd w:val="clear" w:color="auto" w:fill="FFFFFF"/>
              <w:spacing w:after="75" w:line="312" w:lineRule="atLeast"/>
              <w:ind w:left="17"/>
              <w:jc w:val="both"/>
              <w:rPr>
                <w:rFonts w:ascii="Arial" w:eastAsia="Times New Roman" w:hAnsi="Arial" w:cs="Arial"/>
                <w:color w:val="3B3A3A"/>
                <w:sz w:val="20"/>
                <w:szCs w:val="20"/>
                <w:lang w:eastAsia="fr-FR"/>
              </w:rPr>
            </w:pPr>
            <w:r w:rsidRPr="00E87B6B">
              <w:rPr>
                <w:rFonts w:ascii="Arial" w:eastAsia="Times New Roman" w:hAnsi="Arial" w:cs="Arial"/>
                <w:b/>
                <w:bCs/>
                <w:color w:val="3B3A3A"/>
                <w:sz w:val="20"/>
                <w:szCs w:val="20"/>
                <w:lang w:eastAsia="fr-FR"/>
              </w:rPr>
              <w:t>Durée du placement : </w:t>
            </w:r>
            <w:r w:rsidRPr="00E87B6B">
              <w:rPr>
                <w:rFonts w:ascii="Arial" w:eastAsia="Times New Roman" w:hAnsi="Arial" w:cs="Arial"/>
                <w:color w:val="3B3A3A"/>
                <w:sz w:val="20"/>
                <w:szCs w:val="20"/>
                <w:lang w:eastAsia="fr-FR"/>
              </w:rPr>
              <w:t>25 ans</w:t>
            </w:r>
          </w:p>
          <w:p w:rsidR="00DB03A9" w:rsidRDefault="00DB03A9" w:rsidP="00DB03A9">
            <w:pPr>
              <w:shd w:val="clear" w:color="auto" w:fill="FFFFFF"/>
              <w:spacing w:after="75" w:line="312" w:lineRule="atLeast"/>
              <w:ind w:left="17"/>
              <w:jc w:val="both"/>
              <w:rPr>
                <w:rFonts w:ascii="Arial" w:eastAsia="Times New Roman" w:hAnsi="Arial" w:cs="Arial"/>
                <w:b/>
                <w:bCs/>
                <w:color w:val="3B3A3A"/>
                <w:sz w:val="34"/>
                <w:szCs w:val="34"/>
                <w:lang w:eastAsia="fr-FR"/>
              </w:rPr>
            </w:pPr>
            <w:r w:rsidRPr="00E87B6B">
              <w:rPr>
                <w:rFonts w:ascii="Arial" w:eastAsia="Times New Roman" w:hAnsi="Arial" w:cs="Arial"/>
                <w:b/>
                <w:color w:val="3B3A3A"/>
                <w:sz w:val="20"/>
                <w:szCs w:val="20"/>
                <w:lang w:eastAsia="fr-FR"/>
              </w:rPr>
              <w:t>Capacité d'épargne du salarié</w:t>
            </w:r>
            <w:r w:rsidRPr="00E87B6B">
              <w:rPr>
                <w:rFonts w:ascii="Arial" w:eastAsia="Times New Roman" w:hAnsi="Arial" w:cs="Arial"/>
                <w:color w:val="3B3A3A"/>
                <w:sz w:val="20"/>
                <w:szCs w:val="20"/>
                <w:lang w:eastAsia="fr-FR"/>
              </w:rPr>
              <w:t xml:space="preserve"> : 1.000 euros/mois</w:t>
            </w:r>
          </w:p>
        </w:tc>
      </w:tr>
    </w:tbl>
    <w:p w:rsidR="00E87B6B" w:rsidRDefault="00E87B6B" w:rsidP="00B23793">
      <w:pPr>
        <w:shd w:val="clear" w:color="auto" w:fill="FFFFFF"/>
        <w:spacing w:after="75" w:line="312" w:lineRule="atLeast"/>
        <w:jc w:val="both"/>
        <w:rPr>
          <w:rFonts w:ascii="Arial" w:eastAsia="Times New Roman" w:hAnsi="Arial" w:cs="Arial"/>
          <w:b/>
          <w:bCs/>
          <w:color w:val="3B3A3A"/>
          <w:sz w:val="23"/>
          <w:szCs w:val="23"/>
          <w:lang w:eastAsia="fr-FR"/>
        </w:rPr>
      </w:pPr>
    </w:p>
    <w:p w:rsidR="00506CE9" w:rsidRDefault="00506CE9" w:rsidP="006B5F11">
      <w:pPr>
        <w:shd w:val="clear" w:color="auto" w:fill="FFFFFF"/>
        <w:spacing w:after="75" w:line="312" w:lineRule="atLeast"/>
        <w:jc w:val="center"/>
        <w:rPr>
          <w:rFonts w:ascii="Arial" w:eastAsia="Times New Roman" w:hAnsi="Arial" w:cs="Arial"/>
          <w:b/>
          <w:bCs/>
          <w:color w:val="3B3A3A"/>
          <w:sz w:val="23"/>
          <w:szCs w:val="23"/>
          <w:lang w:eastAsia="fr-FR"/>
        </w:rPr>
      </w:pPr>
      <w:r>
        <w:rPr>
          <w:rFonts w:ascii="Arial" w:eastAsia="Times New Roman" w:hAnsi="Arial" w:cs="Arial"/>
          <w:b/>
          <w:bCs/>
          <w:color w:val="3B3A3A"/>
          <w:sz w:val="23"/>
          <w:szCs w:val="23"/>
          <w:lang w:eastAsia="fr-FR"/>
        </w:rPr>
        <w:t>DIVERSIFICATION DE L’EPARGNE</w:t>
      </w:r>
    </w:p>
    <w:tbl>
      <w:tblPr>
        <w:tblStyle w:val="Grilledutableau"/>
        <w:tblW w:w="0" w:type="auto"/>
        <w:tblLook w:val="04A0" w:firstRow="1" w:lastRow="0" w:firstColumn="1" w:lastColumn="0" w:noHBand="0" w:noVBand="1"/>
      </w:tblPr>
      <w:tblGrid>
        <w:gridCol w:w="4606"/>
        <w:gridCol w:w="4606"/>
      </w:tblGrid>
      <w:tr w:rsidR="00506CE9" w:rsidTr="00506CE9">
        <w:tc>
          <w:tcPr>
            <w:tcW w:w="4606" w:type="dxa"/>
          </w:tcPr>
          <w:p w:rsidR="00506CE9" w:rsidRDefault="00506CE9" w:rsidP="00025101">
            <w:pPr>
              <w:shd w:val="clear" w:color="auto" w:fill="FFFFFF"/>
              <w:spacing w:after="75" w:line="312" w:lineRule="atLeast"/>
              <w:jc w:val="center"/>
              <w:rPr>
                <w:rFonts w:ascii="Arial" w:eastAsia="Times New Roman" w:hAnsi="Arial" w:cs="Arial"/>
                <w:b/>
                <w:bCs/>
                <w:color w:val="3B3A3A"/>
                <w:sz w:val="23"/>
                <w:szCs w:val="23"/>
                <w:lang w:eastAsia="fr-FR"/>
              </w:rPr>
            </w:pPr>
            <w:r w:rsidRPr="00506CE9">
              <w:rPr>
                <w:rFonts w:ascii="Arial" w:eastAsia="Times New Roman" w:hAnsi="Arial" w:cs="Arial"/>
                <w:b/>
                <w:bCs/>
                <w:color w:val="3B3A3A"/>
                <w:sz w:val="20"/>
                <w:szCs w:val="20"/>
                <w:lang w:eastAsia="fr-FR"/>
              </w:rPr>
              <w:t>Epargne consacrée à une diversification</w:t>
            </w:r>
            <w:r w:rsidRPr="00506CE9">
              <w:rPr>
                <w:rFonts w:ascii="Arial" w:eastAsia="Times New Roman" w:hAnsi="Arial" w:cs="Arial"/>
                <w:color w:val="3B3A3A"/>
                <w:sz w:val="20"/>
                <w:szCs w:val="20"/>
                <w:lang w:eastAsia="fr-FR"/>
              </w:rPr>
              <w:t> financière (assurance-vie, PEE, PEA, etc.) : 500 euros</w:t>
            </w:r>
          </w:p>
        </w:tc>
        <w:tc>
          <w:tcPr>
            <w:tcW w:w="4606" w:type="dxa"/>
          </w:tcPr>
          <w:p w:rsidR="00506CE9" w:rsidRPr="00506CE9" w:rsidRDefault="00506CE9" w:rsidP="00506CE9">
            <w:pPr>
              <w:shd w:val="clear" w:color="auto" w:fill="FFFFFF"/>
              <w:spacing w:after="75" w:line="312" w:lineRule="atLeast"/>
              <w:jc w:val="center"/>
              <w:rPr>
                <w:rFonts w:ascii="Arial" w:eastAsia="Times New Roman" w:hAnsi="Arial" w:cs="Arial"/>
                <w:color w:val="3B3A3A"/>
                <w:sz w:val="20"/>
                <w:szCs w:val="20"/>
                <w:lang w:eastAsia="fr-FR"/>
              </w:rPr>
            </w:pPr>
            <w:r w:rsidRPr="00506CE9">
              <w:rPr>
                <w:rFonts w:ascii="Arial" w:eastAsia="Times New Roman" w:hAnsi="Arial" w:cs="Arial"/>
                <w:b/>
                <w:bCs/>
                <w:color w:val="3B3A3A"/>
                <w:sz w:val="20"/>
                <w:szCs w:val="20"/>
                <w:lang w:eastAsia="fr-FR"/>
              </w:rPr>
              <w:t>Epargne consacrée au remboursement</w:t>
            </w:r>
            <w:r w:rsidRPr="00506CE9">
              <w:rPr>
                <w:rFonts w:ascii="Arial" w:eastAsia="Times New Roman" w:hAnsi="Arial" w:cs="Arial"/>
                <w:color w:val="3B3A3A"/>
                <w:sz w:val="20"/>
                <w:szCs w:val="20"/>
                <w:lang w:eastAsia="fr-FR"/>
              </w:rPr>
              <w:t> d'un crédit </w:t>
            </w:r>
            <w:hyperlink r:id="rId9" w:tooltip="dossier immobilier" w:history="1">
              <w:r w:rsidRPr="00506CE9">
                <w:rPr>
                  <w:rFonts w:ascii="Arial" w:eastAsia="Times New Roman" w:hAnsi="Arial" w:cs="Arial"/>
                  <w:bCs/>
                  <w:sz w:val="20"/>
                  <w:szCs w:val="20"/>
                  <w:lang w:eastAsia="fr-FR"/>
                </w:rPr>
                <w:t>immobilier</w:t>
              </w:r>
            </w:hyperlink>
            <w:r w:rsidRPr="00506CE9">
              <w:rPr>
                <w:rFonts w:ascii="Arial" w:eastAsia="Times New Roman" w:hAnsi="Arial" w:cs="Arial"/>
                <w:color w:val="3B3A3A"/>
                <w:sz w:val="20"/>
                <w:szCs w:val="20"/>
                <w:lang w:eastAsia="fr-FR"/>
              </w:rPr>
              <w:t> : 500 euros</w:t>
            </w:r>
          </w:p>
          <w:p w:rsidR="00506CE9" w:rsidRDefault="00506CE9" w:rsidP="00B23793">
            <w:pPr>
              <w:spacing w:after="75" w:line="312" w:lineRule="atLeast"/>
              <w:jc w:val="both"/>
              <w:rPr>
                <w:rFonts w:ascii="Arial" w:eastAsia="Times New Roman" w:hAnsi="Arial" w:cs="Arial"/>
                <w:b/>
                <w:bCs/>
                <w:color w:val="3B3A3A"/>
                <w:sz w:val="23"/>
                <w:szCs w:val="23"/>
                <w:lang w:eastAsia="fr-FR"/>
              </w:rPr>
            </w:pPr>
          </w:p>
        </w:tc>
      </w:tr>
      <w:tr w:rsidR="00506CE9" w:rsidTr="006B5F11">
        <w:trPr>
          <w:trHeight w:val="3985"/>
        </w:trPr>
        <w:tc>
          <w:tcPr>
            <w:tcW w:w="4606" w:type="dxa"/>
            <w:vAlign w:val="center"/>
          </w:tcPr>
          <w:p w:rsidR="00506CE9" w:rsidRPr="00025101" w:rsidRDefault="00506CE9" w:rsidP="00E87B6B">
            <w:pPr>
              <w:shd w:val="clear" w:color="auto" w:fill="FFFFFF"/>
              <w:spacing w:after="75" w:line="312" w:lineRule="atLeast"/>
              <w:rPr>
                <w:rFonts w:ascii="Arial" w:eastAsia="Times New Roman" w:hAnsi="Arial" w:cs="Arial"/>
                <w:b/>
                <w:bCs/>
                <w:color w:val="3B3A3A"/>
                <w:sz w:val="20"/>
                <w:szCs w:val="20"/>
                <w:lang w:eastAsia="fr-FR"/>
              </w:rPr>
            </w:pPr>
            <w:r w:rsidRPr="00025101">
              <w:rPr>
                <w:rFonts w:ascii="Arial" w:eastAsia="Times New Roman" w:hAnsi="Arial" w:cs="Arial"/>
                <w:b/>
                <w:bCs/>
                <w:color w:val="3B3A3A"/>
                <w:sz w:val="20"/>
                <w:szCs w:val="20"/>
                <w:lang w:eastAsia="fr-FR"/>
              </w:rPr>
              <w:t>Taux de rendement </w:t>
            </w:r>
            <w:r w:rsidRPr="00025101">
              <w:rPr>
                <w:rFonts w:ascii="Arial" w:eastAsia="Times New Roman" w:hAnsi="Arial" w:cs="Arial"/>
                <w:color w:val="3B3A3A"/>
                <w:sz w:val="20"/>
                <w:szCs w:val="20"/>
                <w:lang w:eastAsia="fr-FR"/>
              </w:rPr>
              <w:t xml:space="preserve">brut annuel des actifs diversifiés logés au sein d'un contrat d'assurance-vie (100 % unités de compte): </w:t>
            </w:r>
            <w:r w:rsidRPr="00025101">
              <w:rPr>
                <w:rFonts w:ascii="Arial" w:eastAsia="Times New Roman" w:hAnsi="Arial" w:cs="Arial"/>
                <w:b/>
                <w:color w:val="3B3A3A"/>
                <w:sz w:val="20"/>
                <w:szCs w:val="20"/>
                <w:lang w:eastAsia="fr-FR"/>
              </w:rPr>
              <w:t>5 %</w:t>
            </w:r>
          </w:p>
        </w:tc>
        <w:tc>
          <w:tcPr>
            <w:tcW w:w="4606" w:type="dxa"/>
          </w:tcPr>
          <w:p w:rsidR="00506CE9" w:rsidRPr="00025101" w:rsidRDefault="00506CE9" w:rsidP="00E87B6B">
            <w:pPr>
              <w:shd w:val="clear" w:color="auto" w:fill="FFFFFF"/>
              <w:spacing w:after="75" w:line="312" w:lineRule="atLeast"/>
              <w:rPr>
                <w:rFonts w:ascii="Arial" w:eastAsia="Times New Roman" w:hAnsi="Arial" w:cs="Arial"/>
                <w:color w:val="3B3A3A"/>
                <w:sz w:val="20"/>
                <w:szCs w:val="20"/>
                <w:lang w:eastAsia="fr-FR"/>
              </w:rPr>
            </w:pPr>
            <w:r w:rsidRPr="00025101">
              <w:rPr>
                <w:rFonts w:ascii="Arial" w:eastAsia="Times New Roman" w:hAnsi="Arial" w:cs="Arial"/>
                <w:b/>
                <w:bCs/>
                <w:color w:val="3B3A3A"/>
                <w:sz w:val="20"/>
                <w:szCs w:val="20"/>
                <w:lang w:eastAsia="fr-FR"/>
              </w:rPr>
              <w:t>Nature du crédit : </w:t>
            </w:r>
            <w:r w:rsidRPr="00025101">
              <w:rPr>
                <w:rFonts w:ascii="Arial" w:eastAsia="Times New Roman" w:hAnsi="Arial" w:cs="Arial"/>
                <w:color w:val="3B3A3A"/>
                <w:sz w:val="20"/>
                <w:szCs w:val="20"/>
                <w:lang w:eastAsia="fr-FR"/>
              </w:rPr>
              <w:t>crédit amortissable à taux fixe</w:t>
            </w:r>
          </w:p>
          <w:p w:rsidR="00506CE9" w:rsidRPr="00025101" w:rsidRDefault="00506CE9" w:rsidP="00E87B6B">
            <w:pPr>
              <w:shd w:val="clear" w:color="auto" w:fill="FFFFFF"/>
              <w:spacing w:after="75" w:line="312" w:lineRule="atLeast"/>
              <w:rPr>
                <w:rFonts w:ascii="Arial" w:eastAsia="Times New Roman" w:hAnsi="Arial" w:cs="Arial"/>
                <w:color w:val="3B3A3A"/>
                <w:sz w:val="20"/>
                <w:szCs w:val="20"/>
                <w:lang w:eastAsia="fr-FR"/>
              </w:rPr>
            </w:pPr>
            <w:r w:rsidRPr="00025101">
              <w:rPr>
                <w:rFonts w:ascii="Arial" w:eastAsia="Times New Roman" w:hAnsi="Arial" w:cs="Arial"/>
                <w:b/>
                <w:bCs/>
                <w:color w:val="3B3A3A"/>
                <w:sz w:val="20"/>
                <w:szCs w:val="20"/>
                <w:lang w:eastAsia="fr-FR"/>
              </w:rPr>
              <w:t>Taux moyen du crédit</w:t>
            </w:r>
            <w:r w:rsidRPr="00025101">
              <w:rPr>
                <w:rFonts w:ascii="Arial" w:eastAsia="Times New Roman" w:hAnsi="Arial" w:cs="Arial"/>
                <w:color w:val="3B3A3A"/>
                <w:sz w:val="20"/>
                <w:szCs w:val="20"/>
                <w:lang w:eastAsia="fr-FR"/>
              </w:rPr>
              <w:t xml:space="preserve"> sur 25 ans : </w:t>
            </w:r>
            <w:r w:rsidR="00E87B6B">
              <w:rPr>
                <w:rFonts w:ascii="Arial" w:eastAsia="Times New Roman" w:hAnsi="Arial" w:cs="Arial"/>
                <w:color w:val="3B3A3A"/>
                <w:sz w:val="20"/>
                <w:szCs w:val="20"/>
                <w:lang w:eastAsia="fr-FR"/>
              </w:rPr>
              <w:t>4,50</w:t>
            </w:r>
            <w:r w:rsidRPr="00025101">
              <w:rPr>
                <w:rFonts w:ascii="Arial" w:eastAsia="Times New Roman" w:hAnsi="Arial" w:cs="Arial"/>
                <w:color w:val="3B3A3A"/>
                <w:sz w:val="20"/>
                <w:szCs w:val="20"/>
                <w:lang w:eastAsia="fr-FR"/>
              </w:rPr>
              <w:t> %</w:t>
            </w:r>
          </w:p>
          <w:p w:rsidR="00506CE9" w:rsidRPr="00025101" w:rsidRDefault="00506CE9" w:rsidP="00E87B6B">
            <w:pPr>
              <w:shd w:val="clear" w:color="auto" w:fill="FFFFFF"/>
              <w:spacing w:after="75" w:line="312" w:lineRule="atLeast"/>
              <w:rPr>
                <w:rFonts w:ascii="Arial" w:eastAsia="Times New Roman" w:hAnsi="Arial" w:cs="Arial"/>
                <w:color w:val="3B3A3A"/>
                <w:sz w:val="20"/>
                <w:szCs w:val="20"/>
                <w:lang w:eastAsia="fr-FR"/>
              </w:rPr>
            </w:pPr>
            <w:r w:rsidRPr="00025101">
              <w:rPr>
                <w:rFonts w:ascii="Arial" w:eastAsia="Times New Roman" w:hAnsi="Arial" w:cs="Arial"/>
                <w:b/>
                <w:bCs/>
                <w:color w:val="3B3A3A"/>
                <w:sz w:val="20"/>
                <w:szCs w:val="20"/>
                <w:lang w:eastAsia="fr-FR"/>
              </w:rPr>
              <w:t>Montant du crédit : </w:t>
            </w:r>
            <w:r w:rsidRPr="00025101">
              <w:rPr>
                <w:rFonts w:ascii="Arial" w:eastAsia="Times New Roman" w:hAnsi="Arial" w:cs="Arial"/>
                <w:color w:val="3B3A3A"/>
                <w:sz w:val="20"/>
                <w:szCs w:val="20"/>
                <w:lang w:eastAsia="fr-FR"/>
              </w:rPr>
              <w:t xml:space="preserve">180.000 euros (valeur retenue du bien immobilier) sur 25 ans, soit une mensualité de </w:t>
            </w:r>
            <w:r w:rsidR="00E87B6B">
              <w:rPr>
                <w:rFonts w:ascii="Arial" w:eastAsia="Times New Roman" w:hAnsi="Arial" w:cs="Arial"/>
                <w:color w:val="3B3A3A"/>
                <w:sz w:val="20"/>
                <w:szCs w:val="20"/>
                <w:lang w:eastAsia="fr-FR"/>
              </w:rPr>
              <w:t xml:space="preserve">1000 </w:t>
            </w:r>
            <w:r w:rsidRPr="00025101">
              <w:rPr>
                <w:rFonts w:ascii="Arial" w:eastAsia="Times New Roman" w:hAnsi="Arial" w:cs="Arial"/>
                <w:color w:val="3B3A3A"/>
                <w:sz w:val="20"/>
                <w:szCs w:val="20"/>
                <w:lang w:eastAsia="fr-FR"/>
              </w:rPr>
              <w:t>euros/mois (hors coût de l'assurance-décès)</w:t>
            </w:r>
          </w:p>
          <w:p w:rsidR="00506CE9" w:rsidRPr="00025101" w:rsidRDefault="00506CE9" w:rsidP="00E87B6B">
            <w:pPr>
              <w:shd w:val="clear" w:color="auto" w:fill="FFFFFF"/>
              <w:spacing w:after="75" w:line="312" w:lineRule="atLeast"/>
              <w:rPr>
                <w:rFonts w:ascii="Arial" w:eastAsia="Times New Roman" w:hAnsi="Arial" w:cs="Arial"/>
                <w:color w:val="3B3A3A"/>
                <w:sz w:val="20"/>
                <w:szCs w:val="20"/>
                <w:lang w:eastAsia="fr-FR"/>
              </w:rPr>
            </w:pPr>
            <w:r w:rsidRPr="00025101">
              <w:rPr>
                <w:rFonts w:ascii="Arial" w:eastAsia="Times New Roman" w:hAnsi="Arial" w:cs="Arial"/>
                <w:b/>
                <w:bCs/>
                <w:color w:val="3B3A3A"/>
                <w:sz w:val="20"/>
                <w:szCs w:val="20"/>
                <w:lang w:eastAsia="fr-FR"/>
              </w:rPr>
              <w:t>Taux de rendement</w:t>
            </w:r>
            <w:r w:rsidRPr="00025101">
              <w:rPr>
                <w:rFonts w:ascii="Arial" w:eastAsia="Times New Roman" w:hAnsi="Arial" w:cs="Arial"/>
                <w:color w:val="3B3A3A"/>
                <w:sz w:val="20"/>
                <w:szCs w:val="20"/>
                <w:lang w:eastAsia="fr-FR"/>
              </w:rPr>
              <w:t> du bien immobilier : 3,5 %, soit un loyer mensuel de 500 euros/mois.</w:t>
            </w:r>
          </w:p>
          <w:p w:rsidR="00506CE9" w:rsidRPr="00025101" w:rsidRDefault="00506CE9" w:rsidP="00E87B6B">
            <w:pPr>
              <w:shd w:val="clear" w:color="auto" w:fill="FFFFFF"/>
              <w:spacing w:after="75" w:line="312" w:lineRule="atLeast"/>
              <w:rPr>
                <w:rFonts w:ascii="Arial" w:eastAsia="Times New Roman" w:hAnsi="Arial" w:cs="Arial"/>
                <w:color w:val="3B3A3A"/>
                <w:sz w:val="20"/>
                <w:szCs w:val="20"/>
                <w:lang w:eastAsia="fr-FR"/>
              </w:rPr>
            </w:pPr>
            <w:r w:rsidRPr="00025101">
              <w:rPr>
                <w:rFonts w:ascii="Arial" w:eastAsia="Times New Roman" w:hAnsi="Arial" w:cs="Arial"/>
                <w:b/>
                <w:bCs/>
                <w:color w:val="3B3A3A"/>
                <w:sz w:val="20"/>
                <w:szCs w:val="20"/>
                <w:lang w:eastAsia="fr-FR"/>
              </w:rPr>
              <w:t>Taux de valorisation</w:t>
            </w:r>
            <w:r w:rsidRPr="00025101">
              <w:rPr>
                <w:rFonts w:ascii="Arial" w:eastAsia="Times New Roman" w:hAnsi="Arial" w:cs="Arial"/>
                <w:color w:val="3B3A3A"/>
                <w:sz w:val="20"/>
                <w:szCs w:val="20"/>
                <w:lang w:eastAsia="fr-FR"/>
              </w:rPr>
              <w:t> du bien immobilier : 2 % par an</w:t>
            </w:r>
          </w:p>
          <w:p w:rsidR="00506CE9" w:rsidRDefault="00506CE9" w:rsidP="006B5F11">
            <w:pPr>
              <w:shd w:val="clear" w:color="auto" w:fill="FFFFFF"/>
              <w:spacing w:after="75" w:line="312" w:lineRule="atLeast"/>
              <w:rPr>
                <w:rFonts w:ascii="Arial" w:eastAsia="Times New Roman" w:hAnsi="Arial" w:cs="Arial"/>
                <w:b/>
                <w:bCs/>
                <w:color w:val="3B3A3A"/>
                <w:sz w:val="23"/>
                <w:szCs w:val="23"/>
                <w:lang w:eastAsia="fr-FR"/>
              </w:rPr>
            </w:pPr>
            <w:r w:rsidRPr="00025101">
              <w:rPr>
                <w:rFonts w:ascii="Arial" w:eastAsia="Times New Roman" w:hAnsi="Arial" w:cs="Arial"/>
                <w:b/>
                <w:bCs/>
                <w:color w:val="3B3A3A"/>
                <w:sz w:val="20"/>
                <w:szCs w:val="20"/>
                <w:lang w:eastAsia="fr-FR"/>
              </w:rPr>
              <w:t>Taux de valorisation</w:t>
            </w:r>
            <w:r w:rsidRPr="00025101">
              <w:rPr>
                <w:rFonts w:ascii="Arial" w:eastAsia="Times New Roman" w:hAnsi="Arial" w:cs="Arial"/>
                <w:color w:val="3B3A3A"/>
                <w:sz w:val="20"/>
                <w:szCs w:val="20"/>
                <w:lang w:eastAsia="fr-FR"/>
              </w:rPr>
              <w:t> des loyers : 2 % par an</w:t>
            </w:r>
          </w:p>
        </w:tc>
      </w:tr>
    </w:tbl>
    <w:p w:rsidR="00B23793" w:rsidRPr="00874A6E" w:rsidRDefault="00B23793" w:rsidP="00874A6E">
      <w:pPr>
        <w:shd w:val="clear" w:color="auto" w:fill="FFFFFF"/>
        <w:spacing w:before="225" w:after="0" w:line="240" w:lineRule="auto"/>
        <w:jc w:val="center"/>
        <w:outlineLvl w:val="1"/>
        <w:rPr>
          <w:rFonts w:ascii="Arial" w:eastAsia="Times New Roman" w:hAnsi="Arial" w:cs="Arial"/>
          <w:b/>
          <w:bCs/>
          <w:color w:val="3B3A3A"/>
          <w:sz w:val="24"/>
          <w:szCs w:val="24"/>
          <w:lang w:eastAsia="fr-FR"/>
        </w:rPr>
      </w:pPr>
      <w:r w:rsidRPr="00874A6E">
        <w:rPr>
          <w:rFonts w:ascii="Arial" w:eastAsia="Times New Roman" w:hAnsi="Arial" w:cs="Arial"/>
          <w:b/>
          <w:bCs/>
          <w:color w:val="FF0000"/>
          <w:sz w:val="24"/>
          <w:szCs w:val="24"/>
          <w:lang w:eastAsia="fr-FR"/>
        </w:rPr>
        <w:t>Résultat au terme de 25 ans d'épargne</w:t>
      </w:r>
    </w:p>
    <w:p w:rsidR="00B23793" w:rsidRPr="00874A6E" w:rsidRDefault="00B23793" w:rsidP="00874A6E">
      <w:pPr>
        <w:pStyle w:val="Paragraphedeliste"/>
        <w:numPr>
          <w:ilvl w:val="0"/>
          <w:numId w:val="1"/>
        </w:numPr>
        <w:shd w:val="clear" w:color="auto" w:fill="FFFFFF"/>
        <w:spacing w:after="75" w:line="312" w:lineRule="atLeast"/>
        <w:rPr>
          <w:rFonts w:ascii="Arial" w:eastAsia="Times New Roman" w:hAnsi="Arial" w:cs="Arial"/>
          <w:color w:val="3B3A3A"/>
          <w:sz w:val="20"/>
          <w:szCs w:val="20"/>
          <w:lang w:eastAsia="fr-FR"/>
        </w:rPr>
      </w:pPr>
      <w:r w:rsidRPr="00874A6E">
        <w:rPr>
          <w:rFonts w:ascii="Arial" w:eastAsia="Times New Roman" w:hAnsi="Arial" w:cs="Arial"/>
          <w:color w:val="3B3A3A"/>
          <w:sz w:val="20"/>
          <w:szCs w:val="20"/>
          <w:lang w:eastAsia="fr-FR"/>
        </w:rPr>
        <w:t>Au terme de 25 ans, le bien immobilier est entièrement financé et se valorise à 295.000 euros, générant un loyer de 850 euros mensuels.</w:t>
      </w:r>
    </w:p>
    <w:p w:rsidR="00B23793" w:rsidRDefault="00B23793" w:rsidP="00874A6E">
      <w:pPr>
        <w:pStyle w:val="Paragraphedeliste"/>
        <w:numPr>
          <w:ilvl w:val="0"/>
          <w:numId w:val="1"/>
        </w:numPr>
        <w:shd w:val="clear" w:color="auto" w:fill="FFFFFF"/>
        <w:spacing w:after="75" w:line="312" w:lineRule="atLeast"/>
        <w:rPr>
          <w:rFonts w:ascii="Arial" w:eastAsia="Times New Roman" w:hAnsi="Arial" w:cs="Arial"/>
          <w:color w:val="3B3A3A"/>
          <w:sz w:val="20"/>
          <w:szCs w:val="20"/>
          <w:lang w:eastAsia="fr-FR"/>
        </w:rPr>
      </w:pPr>
      <w:r w:rsidRPr="00874A6E">
        <w:rPr>
          <w:rFonts w:ascii="Arial" w:eastAsia="Times New Roman" w:hAnsi="Arial" w:cs="Arial"/>
          <w:color w:val="3B3A3A"/>
          <w:sz w:val="20"/>
          <w:szCs w:val="20"/>
          <w:lang w:eastAsia="fr-FR"/>
        </w:rPr>
        <w:t xml:space="preserve">Au terme de 25 ans, le contrat d'assurance-vie </w:t>
      </w:r>
      <w:r w:rsidR="00874A6E" w:rsidRPr="00874A6E">
        <w:rPr>
          <w:rFonts w:ascii="Arial" w:eastAsia="Times New Roman" w:hAnsi="Arial" w:cs="Arial"/>
          <w:color w:val="3B3A3A"/>
          <w:sz w:val="20"/>
          <w:szCs w:val="20"/>
          <w:lang w:eastAsia="fr-FR"/>
        </w:rPr>
        <w:t>se valorise</w:t>
      </w:r>
      <w:r w:rsidRPr="00874A6E">
        <w:rPr>
          <w:rFonts w:ascii="Arial" w:eastAsia="Times New Roman" w:hAnsi="Arial" w:cs="Arial"/>
          <w:color w:val="3B3A3A"/>
          <w:sz w:val="20"/>
          <w:szCs w:val="20"/>
          <w:lang w:eastAsia="fr-FR"/>
        </w:rPr>
        <w:t xml:space="preserve"> à 280.000 euros.</w:t>
      </w:r>
    </w:p>
    <w:p w:rsidR="00874A6E" w:rsidRPr="00874A6E" w:rsidRDefault="00874A6E" w:rsidP="00874A6E">
      <w:pPr>
        <w:pStyle w:val="Paragraphedeliste"/>
        <w:shd w:val="clear" w:color="auto" w:fill="FFFFFF"/>
        <w:spacing w:after="75" w:line="312" w:lineRule="atLeast"/>
        <w:rPr>
          <w:rFonts w:ascii="Arial" w:eastAsia="Times New Roman" w:hAnsi="Arial" w:cs="Arial"/>
          <w:color w:val="3B3A3A"/>
          <w:sz w:val="20"/>
          <w:szCs w:val="20"/>
          <w:lang w:eastAsia="fr-FR"/>
        </w:rPr>
      </w:pPr>
    </w:p>
    <w:p w:rsidR="00B23793" w:rsidRPr="00874A6E" w:rsidRDefault="00B23793" w:rsidP="00874A6E">
      <w:pPr>
        <w:pStyle w:val="Paragraphedeliste"/>
        <w:numPr>
          <w:ilvl w:val="0"/>
          <w:numId w:val="2"/>
        </w:numPr>
        <w:shd w:val="clear" w:color="auto" w:fill="FFFFFF"/>
        <w:spacing w:after="75" w:line="312" w:lineRule="atLeast"/>
        <w:rPr>
          <w:rFonts w:ascii="Arial" w:eastAsia="Times New Roman" w:hAnsi="Arial" w:cs="Arial"/>
          <w:b/>
          <w:color w:val="3B3A3A"/>
          <w:sz w:val="20"/>
          <w:szCs w:val="20"/>
          <w:u w:val="single"/>
          <w:lang w:eastAsia="fr-FR"/>
        </w:rPr>
      </w:pPr>
      <w:r w:rsidRPr="00874A6E">
        <w:rPr>
          <w:rFonts w:ascii="Arial" w:eastAsia="Times New Roman" w:hAnsi="Arial" w:cs="Arial"/>
          <w:b/>
          <w:color w:val="3B3A3A"/>
          <w:sz w:val="20"/>
          <w:szCs w:val="20"/>
          <w:u w:val="single"/>
          <w:lang w:eastAsia="fr-FR"/>
        </w:rPr>
        <w:t>Pour un effort de 1.000 euros/mois (hors fiscalité), le patrimoine constitu</w:t>
      </w:r>
      <w:r w:rsidR="00874A6E" w:rsidRPr="00874A6E">
        <w:rPr>
          <w:rFonts w:ascii="Arial" w:eastAsia="Times New Roman" w:hAnsi="Arial" w:cs="Arial"/>
          <w:b/>
          <w:color w:val="3B3A3A"/>
          <w:sz w:val="20"/>
          <w:szCs w:val="20"/>
          <w:u w:val="single"/>
          <w:lang w:eastAsia="fr-FR"/>
        </w:rPr>
        <w:t>é au terme est de 575.000 euros avec un revenu complémentaire de 850 € par mois.</w:t>
      </w:r>
    </w:p>
    <w:p w:rsidR="00874A6E" w:rsidRDefault="00874A6E" w:rsidP="00E87B6B">
      <w:pPr>
        <w:shd w:val="clear" w:color="auto" w:fill="FFFFFF"/>
        <w:spacing w:after="75" w:line="312" w:lineRule="atLeast"/>
        <w:rPr>
          <w:rFonts w:ascii="Arial" w:eastAsia="Times New Roman" w:hAnsi="Arial" w:cs="Arial"/>
          <w:i/>
          <w:color w:val="3B3A3A"/>
          <w:sz w:val="18"/>
          <w:szCs w:val="18"/>
          <w:lang w:eastAsia="fr-FR"/>
        </w:rPr>
      </w:pPr>
    </w:p>
    <w:p w:rsidR="00B23793" w:rsidRPr="00874A6E" w:rsidRDefault="00874A6E" w:rsidP="00E87B6B">
      <w:pPr>
        <w:shd w:val="clear" w:color="auto" w:fill="FFFFFF"/>
        <w:spacing w:after="75" w:line="312" w:lineRule="atLeast"/>
        <w:rPr>
          <w:rFonts w:ascii="Arial" w:eastAsia="Times New Roman" w:hAnsi="Arial" w:cs="Arial"/>
          <w:color w:val="3B3A3A"/>
          <w:sz w:val="18"/>
          <w:szCs w:val="18"/>
          <w:lang w:eastAsia="fr-FR"/>
        </w:rPr>
      </w:pPr>
      <w:r w:rsidRPr="00874A6E">
        <w:rPr>
          <w:rFonts w:ascii="Arial" w:eastAsia="Times New Roman" w:hAnsi="Arial" w:cs="Arial"/>
          <w:color w:val="3B3A3A"/>
          <w:sz w:val="18"/>
          <w:szCs w:val="18"/>
          <w:lang w:eastAsia="fr-FR"/>
        </w:rPr>
        <w:t>Il convient de préciser que</w:t>
      </w:r>
      <w:r w:rsidR="00B23793" w:rsidRPr="00874A6E">
        <w:rPr>
          <w:rFonts w:ascii="Arial" w:eastAsia="Times New Roman" w:hAnsi="Arial" w:cs="Arial"/>
          <w:color w:val="3B3A3A"/>
          <w:sz w:val="18"/>
          <w:szCs w:val="18"/>
          <w:lang w:eastAsia="fr-FR"/>
        </w:rPr>
        <w:t xml:space="preserve"> l'augmentation des loyers sur la période (simple revalorisation annuelle pendant 25 ans), alors que le remboursement du crédit reste constant, peut représenter un capital significatif non pris en compte dans cet exemple (les loyers évoluant, en effet, de 500 à 850 euros mensuels, suivant les hypothèses retenues</w:t>
      </w:r>
      <w:r w:rsidRPr="00874A6E">
        <w:rPr>
          <w:rFonts w:ascii="Arial" w:eastAsia="Times New Roman" w:hAnsi="Arial" w:cs="Arial"/>
          <w:color w:val="3B3A3A"/>
          <w:sz w:val="18"/>
          <w:szCs w:val="18"/>
          <w:lang w:eastAsia="fr-FR"/>
        </w:rPr>
        <w:t>, l’effort d’épargne devient moins important</w:t>
      </w:r>
      <w:r w:rsidR="00B23793" w:rsidRPr="00874A6E">
        <w:rPr>
          <w:rFonts w:ascii="Arial" w:eastAsia="Times New Roman" w:hAnsi="Arial" w:cs="Arial"/>
          <w:color w:val="3B3A3A"/>
          <w:sz w:val="18"/>
          <w:szCs w:val="18"/>
          <w:lang w:eastAsia="fr-FR"/>
        </w:rPr>
        <w:t>).</w:t>
      </w:r>
      <w:r w:rsidRPr="00874A6E">
        <w:rPr>
          <w:rFonts w:ascii="Arial" w:eastAsia="Times New Roman" w:hAnsi="Arial" w:cs="Arial"/>
          <w:color w:val="3B3A3A"/>
          <w:sz w:val="18"/>
          <w:szCs w:val="18"/>
          <w:lang w:eastAsia="fr-FR"/>
        </w:rPr>
        <w:t xml:space="preserve"> De même, le taux d’intérêt du crédit retenu pour cette simulation n’est pas représentatif des taux actuels du marché (bien plus bas à ce jour).</w:t>
      </w:r>
    </w:p>
    <w:p w:rsidR="00196C87" w:rsidRDefault="00196C87"/>
    <w:sectPr w:rsidR="00196C87" w:rsidSect="00196C87">
      <w:footerReference w:type="default" r:id="rId10"/>
      <w:pgSz w:w="11906" w:h="16838"/>
      <w:pgMar w:top="1417" w:right="1417" w:bottom="1417" w:left="1417"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F0" w:rsidRDefault="00B214F0" w:rsidP="00196C87">
      <w:pPr>
        <w:spacing w:after="0" w:line="240" w:lineRule="auto"/>
      </w:pPr>
      <w:r>
        <w:separator/>
      </w:r>
    </w:p>
  </w:endnote>
  <w:endnote w:type="continuationSeparator" w:id="0">
    <w:p w:rsidR="00B214F0" w:rsidRDefault="00B214F0" w:rsidP="0019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87" w:rsidRPr="00433876" w:rsidRDefault="00196C87" w:rsidP="00433876">
    <w:pPr>
      <w:pStyle w:val="Pieddepage"/>
      <w:jc w:val="center"/>
      <w:rPr>
        <w:i/>
        <w:sz w:val="16"/>
        <w:szCs w:val="16"/>
      </w:rPr>
    </w:pPr>
    <w:r w:rsidRPr="00433876">
      <w:rPr>
        <w:i/>
        <w:sz w:val="16"/>
        <w:szCs w:val="16"/>
      </w:rPr>
      <w:t>Ceci est une simulation</w:t>
    </w:r>
    <w:r w:rsidR="00433876" w:rsidRPr="00433876">
      <w:rPr>
        <w:i/>
        <w:sz w:val="16"/>
        <w:szCs w:val="16"/>
      </w:rPr>
      <w:t>, présentée à titre indicatif, les taux ne pouvant être garantis par PAGESCO</w:t>
    </w:r>
  </w:p>
  <w:p w:rsidR="00196C87" w:rsidRDefault="00196C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F0" w:rsidRDefault="00B214F0" w:rsidP="00196C87">
      <w:pPr>
        <w:spacing w:after="0" w:line="240" w:lineRule="auto"/>
      </w:pPr>
      <w:r>
        <w:separator/>
      </w:r>
    </w:p>
  </w:footnote>
  <w:footnote w:type="continuationSeparator" w:id="0">
    <w:p w:rsidR="00B214F0" w:rsidRDefault="00B214F0" w:rsidP="00196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7398"/>
    <w:multiLevelType w:val="hybridMultilevel"/>
    <w:tmpl w:val="17B610CC"/>
    <w:lvl w:ilvl="0" w:tplc="148EEE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BF28FB"/>
    <w:multiLevelType w:val="hybridMultilevel"/>
    <w:tmpl w:val="A6908030"/>
    <w:lvl w:ilvl="0" w:tplc="6130F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93"/>
    <w:rsid w:val="00025101"/>
    <w:rsid w:val="000E4358"/>
    <w:rsid w:val="00196C87"/>
    <w:rsid w:val="00433876"/>
    <w:rsid w:val="00506CE9"/>
    <w:rsid w:val="00613C13"/>
    <w:rsid w:val="006B5F11"/>
    <w:rsid w:val="00874A6E"/>
    <w:rsid w:val="008D6AE7"/>
    <w:rsid w:val="00A44CED"/>
    <w:rsid w:val="00B214F0"/>
    <w:rsid w:val="00B23793"/>
    <w:rsid w:val="00DB03A9"/>
    <w:rsid w:val="00E27E4C"/>
    <w:rsid w:val="00E57307"/>
    <w:rsid w:val="00E87B6B"/>
    <w:rsid w:val="00F36C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4C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4CED"/>
    <w:rPr>
      <w:rFonts w:ascii="Tahoma" w:hAnsi="Tahoma" w:cs="Tahoma"/>
      <w:sz w:val="16"/>
      <w:szCs w:val="16"/>
    </w:rPr>
  </w:style>
  <w:style w:type="table" w:styleId="Grilledutableau">
    <w:name w:val="Table Grid"/>
    <w:basedOn w:val="TableauNormal"/>
    <w:uiPriority w:val="59"/>
    <w:rsid w:val="00506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74A6E"/>
    <w:pPr>
      <w:ind w:left="720"/>
      <w:contextualSpacing/>
    </w:pPr>
  </w:style>
  <w:style w:type="paragraph" w:styleId="En-tte">
    <w:name w:val="header"/>
    <w:basedOn w:val="Normal"/>
    <w:link w:val="En-tteCar"/>
    <w:uiPriority w:val="99"/>
    <w:unhideWhenUsed/>
    <w:rsid w:val="00196C87"/>
    <w:pPr>
      <w:tabs>
        <w:tab w:val="center" w:pos="4536"/>
        <w:tab w:val="right" w:pos="9072"/>
      </w:tabs>
      <w:spacing w:after="0" w:line="240" w:lineRule="auto"/>
    </w:pPr>
  </w:style>
  <w:style w:type="character" w:customStyle="1" w:styleId="En-tteCar">
    <w:name w:val="En-tête Car"/>
    <w:basedOn w:val="Policepardfaut"/>
    <w:link w:val="En-tte"/>
    <w:uiPriority w:val="99"/>
    <w:rsid w:val="00196C87"/>
  </w:style>
  <w:style w:type="paragraph" w:styleId="Pieddepage">
    <w:name w:val="footer"/>
    <w:basedOn w:val="Normal"/>
    <w:link w:val="PieddepageCar"/>
    <w:uiPriority w:val="99"/>
    <w:unhideWhenUsed/>
    <w:rsid w:val="00196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6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4C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4CED"/>
    <w:rPr>
      <w:rFonts w:ascii="Tahoma" w:hAnsi="Tahoma" w:cs="Tahoma"/>
      <w:sz w:val="16"/>
      <w:szCs w:val="16"/>
    </w:rPr>
  </w:style>
  <w:style w:type="table" w:styleId="Grilledutableau">
    <w:name w:val="Table Grid"/>
    <w:basedOn w:val="TableauNormal"/>
    <w:uiPriority w:val="59"/>
    <w:rsid w:val="00506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74A6E"/>
    <w:pPr>
      <w:ind w:left="720"/>
      <w:contextualSpacing/>
    </w:pPr>
  </w:style>
  <w:style w:type="paragraph" w:styleId="En-tte">
    <w:name w:val="header"/>
    <w:basedOn w:val="Normal"/>
    <w:link w:val="En-tteCar"/>
    <w:uiPriority w:val="99"/>
    <w:unhideWhenUsed/>
    <w:rsid w:val="00196C87"/>
    <w:pPr>
      <w:tabs>
        <w:tab w:val="center" w:pos="4536"/>
        <w:tab w:val="right" w:pos="9072"/>
      </w:tabs>
      <w:spacing w:after="0" w:line="240" w:lineRule="auto"/>
    </w:pPr>
  </w:style>
  <w:style w:type="character" w:customStyle="1" w:styleId="En-tteCar">
    <w:name w:val="En-tête Car"/>
    <w:basedOn w:val="Policepardfaut"/>
    <w:link w:val="En-tte"/>
    <w:uiPriority w:val="99"/>
    <w:rsid w:val="00196C87"/>
  </w:style>
  <w:style w:type="paragraph" w:styleId="Pieddepage">
    <w:name w:val="footer"/>
    <w:basedOn w:val="Normal"/>
    <w:link w:val="PieddepageCar"/>
    <w:uiPriority w:val="99"/>
    <w:unhideWhenUsed/>
    <w:rsid w:val="00196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6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90481">
      <w:bodyDiv w:val="1"/>
      <w:marLeft w:val="0"/>
      <w:marRight w:val="0"/>
      <w:marTop w:val="0"/>
      <w:marBottom w:val="0"/>
      <w:divBdr>
        <w:top w:val="none" w:sz="0" w:space="0" w:color="auto"/>
        <w:left w:val="none" w:sz="0" w:space="0" w:color="auto"/>
        <w:bottom w:val="none" w:sz="0" w:space="0" w:color="auto"/>
        <w:right w:val="none" w:sz="0" w:space="0" w:color="auto"/>
      </w:divBdr>
      <w:divsChild>
        <w:div w:id="50470068">
          <w:marLeft w:val="0"/>
          <w:marRight w:val="0"/>
          <w:marTop w:val="75"/>
          <w:marBottom w:val="75"/>
          <w:divBdr>
            <w:top w:val="none" w:sz="0" w:space="0" w:color="auto"/>
            <w:left w:val="none" w:sz="0" w:space="0" w:color="auto"/>
            <w:bottom w:val="none" w:sz="0" w:space="0" w:color="auto"/>
            <w:right w:val="none" w:sz="0" w:space="0" w:color="auto"/>
          </w:divBdr>
        </w:div>
        <w:div w:id="678779451">
          <w:marLeft w:val="0"/>
          <w:marRight w:val="0"/>
          <w:marTop w:val="75"/>
          <w:marBottom w:val="75"/>
          <w:divBdr>
            <w:top w:val="none" w:sz="0" w:space="0" w:color="auto"/>
            <w:left w:val="none" w:sz="0" w:space="0" w:color="auto"/>
            <w:bottom w:val="none" w:sz="0" w:space="0" w:color="auto"/>
            <w:right w:val="none" w:sz="0" w:space="0" w:color="auto"/>
          </w:divBdr>
        </w:div>
        <w:div w:id="428045731">
          <w:marLeft w:val="0"/>
          <w:marRight w:val="0"/>
          <w:marTop w:val="75"/>
          <w:marBottom w:val="75"/>
          <w:divBdr>
            <w:top w:val="none" w:sz="0" w:space="0" w:color="auto"/>
            <w:left w:val="none" w:sz="0" w:space="0" w:color="auto"/>
            <w:bottom w:val="none" w:sz="0" w:space="0" w:color="auto"/>
            <w:right w:val="none" w:sz="0" w:space="0" w:color="auto"/>
          </w:divBdr>
        </w:div>
        <w:div w:id="598951605">
          <w:marLeft w:val="0"/>
          <w:marRight w:val="0"/>
          <w:marTop w:val="75"/>
          <w:marBottom w:val="75"/>
          <w:divBdr>
            <w:top w:val="none" w:sz="0" w:space="0" w:color="auto"/>
            <w:left w:val="none" w:sz="0" w:space="0" w:color="auto"/>
            <w:bottom w:val="none" w:sz="0" w:space="0" w:color="auto"/>
            <w:right w:val="none" w:sz="0" w:space="0" w:color="auto"/>
          </w:divBdr>
        </w:div>
        <w:div w:id="951325918">
          <w:marLeft w:val="0"/>
          <w:marRight w:val="0"/>
          <w:marTop w:val="75"/>
          <w:marBottom w:val="75"/>
          <w:divBdr>
            <w:top w:val="none" w:sz="0" w:space="0" w:color="auto"/>
            <w:left w:val="none" w:sz="0" w:space="0" w:color="auto"/>
            <w:bottom w:val="none" w:sz="0" w:space="0" w:color="auto"/>
            <w:right w:val="none" w:sz="0" w:space="0" w:color="auto"/>
          </w:divBdr>
        </w:div>
        <w:div w:id="514074722">
          <w:marLeft w:val="0"/>
          <w:marRight w:val="0"/>
          <w:marTop w:val="75"/>
          <w:marBottom w:val="75"/>
          <w:divBdr>
            <w:top w:val="none" w:sz="0" w:space="0" w:color="auto"/>
            <w:left w:val="none" w:sz="0" w:space="0" w:color="auto"/>
            <w:bottom w:val="none" w:sz="0" w:space="0" w:color="auto"/>
            <w:right w:val="none" w:sz="0" w:space="0" w:color="auto"/>
          </w:divBdr>
        </w:div>
        <w:div w:id="1073311467">
          <w:marLeft w:val="0"/>
          <w:marRight w:val="0"/>
          <w:marTop w:val="75"/>
          <w:marBottom w:val="75"/>
          <w:divBdr>
            <w:top w:val="none" w:sz="0" w:space="0" w:color="auto"/>
            <w:left w:val="none" w:sz="0" w:space="0" w:color="auto"/>
            <w:bottom w:val="none" w:sz="0" w:space="0" w:color="auto"/>
            <w:right w:val="none" w:sz="0" w:space="0" w:color="auto"/>
          </w:divBdr>
        </w:div>
        <w:div w:id="1368989818">
          <w:marLeft w:val="0"/>
          <w:marRight w:val="0"/>
          <w:marTop w:val="75"/>
          <w:marBottom w:val="75"/>
          <w:divBdr>
            <w:top w:val="none" w:sz="0" w:space="0" w:color="auto"/>
            <w:left w:val="none" w:sz="0" w:space="0" w:color="auto"/>
            <w:bottom w:val="none" w:sz="0" w:space="0" w:color="auto"/>
            <w:right w:val="none" w:sz="0" w:space="0" w:color="auto"/>
          </w:divBdr>
        </w:div>
        <w:div w:id="1848323295">
          <w:marLeft w:val="0"/>
          <w:marRight w:val="0"/>
          <w:marTop w:val="75"/>
          <w:marBottom w:val="75"/>
          <w:divBdr>
            <w:top w:val="none" w:sz="0" w:space="0" w:color="auto"/>
            <w:left w:val="none" w:sz="0" w:space="0" w:color="auto"/>
            <w:bottom w:val="none" w:sz="0" w:space="0" w:color="auto"/>
            <w:right w:val="none" w:sz="0" w:space="0" w:color="auto"/>
          </w:divBdr>
        </w:div>
        <w:div w:id="222445315">
          <w:marLeft w:val="0"/>
          <w:marRight w:val="0"/>
          <w:marTop w:val="75"/>
          <w:marBottom w:val="75"/>
          <w:divBdr>
            <w:top w:val="none" w:sz="0" w:space="0" w:color="auto"/>
            <w:left w:val="none" w:sz="0" w:space="0" w:color="auto"/>
            <w:bottom w:val="none" w:sz="0" w:space="0" w:color="auto"/>
            <w:right w:val="none" w:sz="0" w:space="0" w:color="auto"/>
          </w:divBdr>
        </w:div>
        <w:div w:id="1959948440">
          <w:marLeft w:val="0"/>
          <w:marRight w:val="0"/>
          <w:marTop w:val="75"/>
          <w:marBottom w:val="75"/>
          <w:divBdr>
            <w:top w:val="none" w:sz="0" w:space="0" w:color="auto"/>
            <w:left w:val="none" w:sz="0" w:space="0" w:color="auto"/>
            <w:bottom w:val="none" w:sz="0" w:space="0" w:color="auto"/>
            <w:right w:val="none" w:sz="0" w:space="0" w:color="auto"/>
          </w:divBdr>
        </w:div>
        <w:div w:id="563491970">
          <w:marLeft w:val="0"/>
          <w:marRight w:val="0"/>
          <w:marTop w:val="75"/>
          <w:marBottom w:val="75"/>
          <w:divBdr>
            <w:top w:val="none" w:sz="0" w:space="0" w:color="auto"/>
            <w:left w:val="none" w:sz="0" w:space="0" w:color="auto"/>
            <w:bottom w:val="none" w:sz="0" w:space="0" w:color="auto"/>
            <w:right w:val="none" w:sz="0" w:space="0" w:color="auto"/>
          </w:divBdr>
        </w:div>
        <w:div w:id="1702245690">
          <w:marLeft w:val="0"/>
          <w:marRight w:val="0"/>
          <w:marTop w:val="75"/>
          <w:marBottom w:val="75"/>
          <w:divBdr>
            <w:top w:val="none" w:sz="0" w:space="0" w:color="auto"/>
            <w:left w:val="none" w:sz="0" w:space="0" w:color="auto"/>
            <w:bottom w:val="none" w:sz="0" w:space="0" w:color="auto"/>
            <w:right w:val="none" w:sz="0" w:space="0" w:color="auto"/>
          </w:divBdr>
        </w:div>
        <w:div w:id="183792930">
          <w:marLeft w:val="0"/>
          <w:marRight w:val="0"/>
          <w:marTop w:val="75"/>
          <w:marBottom w:val="75"/>
          <w:divBdr>
            <w:top w:val="none" w:sz="0" w:space="0" w:color="auto"/>
            <w:left w:val="none" w:sz="0" w:space="0" w:color="auto"/>
            <w:bottom w:val="none" w:sz="0" w:space="0" w:color="auto"/>
            <w:right w:val="none" w:sz="0" w:space="0" w:color="auto"/>
          </w:divBdr>
        </w:div>
        <w:div w:id="1291475280">
          <w:marLeft w:val="0"/>
          <w:marRight w:val="0"/>
          <w:marTop w:val="75"/>
          <w:marBottom w:val="75"/>
          <w:divBdr>
            <w:top w:val="none" w:sz="0" w:space="0" w:color="auto"/>
            <w:left w:val="none" w:sz="0" w:space="0" w:color="auto"/>
            <w:bottom w:val="none" w:sz="0" w:space="0" w:color="auto"/>
            <w:right w:val="none" w:sz="0" w:space="0" w:color="auto"/>
          </w:divBdr>
        </w:div>
        <w:div w:id="1860701804">
          <w:marLeft w:val="0"/>
          <w:marRight w:val="0"/>
          <w:marTop w:val="75"/>
          <w:marBottom w:val="75"/>
          <w:divBdr>
            <w:top w:val="none" w:sz="0" w:space="0" w:color="auto"/>
            <w:left w:val="none" w:sz="0" w:space="0" w:color="auto"/>
            <w:bottom w:val="none" w:sz="0" w:space="0" w:color="auto"/>
            <w:right w:val="none" w:sz="0" w:space="0" w:color="auto"/>
          </w:divBdr>
        </w:div>
        <w:div w:id="1092509928">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esechospedia.lesechos.fr/immobilier.htm?xtor=SEC-316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78C3F-039C-46B5-8517-E6B37F61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308</Words>
  <Characters>1698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12</cp:revision>
  <dcterms:created xsi:type="dcterms:W3CDTF">2013-01-16T08:34:00Z</dcterms:created>
  <dcterms:modified xsi:type="dcterms:W3CDTF">2013-01-16T10:27:00Z</dcterms:modified>
</cp:coreProperties>
</file>